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C5" w:rsidRPr="00853EC5" w:rsidRDefault="00853EC5" w:rsidP="00853EC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53EC5">
        <w:rPr>
          <w:rFonts w:ascii="Times New Roman" w:hAnsi="Times New Roman" w:cs="Times New Roman"/>
          <w:b/>
          <w:bCs/>
          <w:sz w:val="24"/>
          <w:szCs w:val="24"/>
        </w:rPr>
        <w:t>Рекомендации педагогам по психологической подготовке к ОГЭ выпускников</w:t>
      </w:r>
      <w:bookmarkEnd w:id="0"/>
      <w:r w:rsidRPr="00853E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>Активно вводите</w:t>
      </w:r>
      <w:r w:rsidRPr="00853EC5">
        <w:rPr>
          <w:rFonts w:ascii="Times New Roman" w:hAnsi="Times New Roman" w:cs="Times New Roman"/>
          <w:sz w:val="24"/>
          <w:szCs w:val="24"/>
        </w:rPr>
        <w:t xml:space="preserve"> тестовые технологии в систему обучения, используя рекомендованные сборники тестовых заданий, для оценивания уровня усвоения материала и отработки навыка их выполнения.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 xml:space="preserve">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853EC5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853EC5">
        <w:rPr>
          <w:rFonts w:ascii="Times New Roman" w:hAnsi="Times New Roman" w:cs="Times New Roman"/>
          <w:bCs/>
          <w:sz w:val="24"/>
          <w:szCs w:val="24"/>
        </w:rPr>
        <w:t xml:space="preserve"> и самоконтроля. 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>Основную часть работы проводите заранее, отрабатывая отдельные детали при сдаче каких-нибудь зачетов и пр., т.е. в случаях не столь эмоционально напряженных. Психотехнические навыки сдачи экзаменов не только повышают эффективность подготовки к экзаменам, позволяют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>Ознакомьте учащихся с методикой подготовки к экзаменам. Помните: зазубривание всего фактического материала малоэффективно,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На практике покажите им, как это делается. Основные формулы и определения можно выписать на листочках и поместить на видных местах.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 xml:space="preserve">Ознакомьте учащихся с методикой проведения единого государственного экзамена. 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 xml:space="preserve">Во время тренировки по тестовым заданиям приучайте школьников ориентироваться во времени и уметь его распределять. Тогда у них будет формироваться навык умения концентрироваться на протяжении всего тестирования, что придаст им спокойствие и снимет излишнюю тревожность. 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 xml:space="preserve">Посоветуйте детям во время тренировки по тестовым заданиям обратить внимание на следующее: - пробежать глазами весь тест, чтобы увидеть, какого типа задания в нем содержатся, это поможет настроиться на работу; -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853EC5">
        <w:rPr>
          <w:rFonts w:ascii="Times New Roman" w:hAnsi="Times New Roman" w:cs="Times New Roman"/>
          <w:bCs/>
          <w:sz w:val="24"/>
          <w:szCs w:val="24"/>
        </w:rPr>
        <w:t>предполагают</w:t>
      </w:r>
      <w:proofErr w:type="gramEnd"/>
      <w:r w:rsidRPr="00853EC5">
        <w:rPr>
          <w:rFonts w:ascii="Times New Roman" w:hAnsi="Times New Roman" w:cs="Times New Roman"/>
          <w:bCs/>
          <w:sz w:val="24"/>
          <w:szCs w:val="24"/>
        </w:rPr>
        <w:t xml:space="preserve"> ответ и торопятся его вписать); - если вопрос вызывает трудности, пропусти его и отметь, чтобы потом к нему вернуться. 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>Помогите учащимся распределить темы подготовки по дням.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>Подбадривайте учащихся, хвалите их за то, что у них хорошо получается.</w:t>
      </w:r>
    </w:p>
    <w:p w:rsidR="00853EC5" w:rsidRPr="00853EC5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>Повышайте уверенность учащихся в себе, так как чем больше подросток боится неудачи, тем более вероятности допущения ошибок.</w:t>
      </w:r>
    </w:p>
    <w:p w:rsidR="002D44D1" w:rsidRDefault="00853EC5" w:rsidP="006E0493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C5">
        <w:rPr>
          <w:rFonts w:ascii="Times New Roman" w:hAnsi="Times New Roman" w:cs="Times New Roman"/>
          <w:bCs/>
          <w:sz w:val="24"/>
          <w:szCs w:val="24"/>
        </w:rPr>
        <w:t>Перед экзаменами постарайтесь снизить волнение учащихся, поскольку оно может отрицательно сказаться на результате тестирования.</w:t>
      </w:r>
    </w:p>
    <w:p w:rsidR="002D44D1" w:rsidRDefault="002D44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lastRenderedPageBreak/>
        <w:t>ПРИМЕРНЫЙ ГРАФИК ОСНОВНОГО ПЕРИОДА ОГЭ 2024 ГОДА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24 мая</w:t>
      </w:r>
      <w:r>
        <w:rPr>
          <w:sz w:val="28"/>
        </w:rPr>
        <w:t xml:space="preserve"> (</w:t>
      </w:r>
      <w:proofErr w:type="spellStart"/>
      <w:r>
        <w:rPr>
          <w:sz w:val="28"/>
        </w:rPr>
        <w:t>пт</w:t>
      </w:r>
      <w:proofErr w:type="spellEnd"/>
      <w:r>
        <w:rPr>
          <w:sz w:val="28"/>
        </w:rPr>
        <w:t>)</w:t>
      </w:r>
      <w:r w:rsidRPr="00EF57BD">
        <w:rPr>
          <w:sz w:val="28"/>
        </w:rPr>
        <w:t xml:space="preserve"> – история, физика, биология;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30 мая – обществознание, информатика и информационно-коммуникационные</w:t>
      </w:r>
      <w:r>
        <w:rPr>
          <w:sz w:val="28"/>
        </w:rPr>
        <w:t xml:space="preserve"> </w:t>
      </w:r>
      <w:r w:rsidRPr="00EF57BD">
        <w:rPr>
          <w:sz w:val="28"/>
        </w:rPr>
        <w:t>технологии (ИКТ), география, химия;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2 июня –</w:t>
      </w:r>
      <w:r>
        <w:rPr>
          <w:sz w:val="28"/>
        </w:rPr>
        <w:t xml:space="preserve"> иностранные языки (английский, немецкий</w:t>
      </w:r>
      <w:r w:rsidRPr="00EF57BD">
        <w:rPr>
          <w:sz w:val="28"/>
        </w:rPr>
        <w:t>);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6 июня – русский язык;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9 июня – математика;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14 июня – литература, физика, информатика и информационно-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коммуникационные технологии (ИКТ), география;</w:t>
      </w:r>
    </w:p>
    <w:p w:rsidR="002D44D1" w:rsidRPr="00EF57BD" w:rsidRDefault="002D44D1" w:rsidP="002D44D1">
      <w:pPr>
        <w:pStyle w:val="a8"/>
        <w:rPr>
          <w:sz w:val="28"/>
        </w:rPr>
      </w:pPr>
      <w:r w:rsidRPr="00EF57BD">
        <w:rPr>
          <w:sz w:val="28"/>
        </w:rPr>
        <w:t>17 июня – обществознание, биология, химия.</w:t>
      </w:r>
    </w:p>
    <w:p w:rsidR="002D44D1" w:rsidRDefault="002D44D1" w:rsidP="002D44D1">
      <w:pPr>
        <w:pStyle w:val="a8"/>
        <w:rPr>
          <w:sz w:val="28"/>
        </w:rPr>
      </w:pPr>
    </w:p>
    <w:p w:rsidR="002D44D1" w:rsidRDefault="002D44D1" w:rsidP="002D44D1"/>
    <w:p w:rsidR="002D44D1" w:rsidRDefault="002D44D1" w:rsidP="002D44D1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Обратите внимание, что официальное расписание ОГЭ резервирует за одной датой сразу несколько предметов и в 2024 году эта особенность сохранится. Если вы планируете сдавать оба предмета, выпавшие на одну дату, то один из экзаменов будет перенесен на резервный день. Переживать из-за этого не стоит – именно для таких ситуаций и существует резерв в каждой сессии ОГЭ... </w:t>
      </w:r>
    </w:p>
    <w:p w:rsidR="002D44D1" w:rsidRDefault="002D44D1" w:rsidP="002D44D1"/>
    <w:p w:rsidR="002D44D1" w:rsidRDefault="002D44D1" w:rsidP="002D44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D7E">
        <w:rPr>
          <w:rFonts w:ascii="Times New Roman" w:hAnsi="Times New Roman" w:cs="Times New Roman"/>
          <w:b/>
          <w:bCs/>
          <w:sz w:val="24"/>
          <w:szCs w:val="24"/>
        </w:rPr>
        <w:t>САЙТЫ В ПОМОЩЬ</w:t>
      </w:r>
    </w:p>
    <w:tbl>
      <w:tblPr>
        <w:tblStyle w:val="a9"/>
        <w:tblW w:w="10136" w:type="dxa"/>
        <w:tblLook w:val="04A0" w:firstRow="1" w:lastRow="0" w:firstColumn="1" w:lastColumn="0" w:noHBand="0" w:noVBand="1"/>
      </w:tblPr>
      <w:tblGrid>
        <w:gridCol w:w="6487"/>
        <w:gridCol w:w="3649"/>
      </w:tblGrid>
      <w:tr w:rsidR="002D44D1" w:rsidTr="00F03646">
        <w:tc>
          <w:tcPr>
            <w:tcW w:w="6487" w:type="dxa"/>
          </w:tcPr>
          <w:p w:rsidR="002D44D1" w:rsidRPr="00954D7E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источники </w:t>
            </w:r>
          </w:p>
        </w:tc>
        <w:tc>
          <w:tcPr>
            <w:tcW w:w="3649" w:type="dxa"/>
          </w:tcPr>
          <w:p w:rsidR="002D44D1" w:rsidRPr="00954D7E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</w:tr>
      <w:tr w:rsidR="002D44D1" w:rsidTr="00F03646">
        <w:tc>
          <w:tcPr>
            <w:tcW w:w="6487" w:type="dxa"/>
          </w:tcPr>
          <w:p w:rsidR="002D44D1" w:rsidRPr="00954D7E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E">
              <w:rPr>
                <w:rFonts w:ascii="Times New Roman" w:hAnsi="Times New Roman" w:cs="Times New Roman"/>
                <w:sz w:val="24"/>
                <w:szCs w:val="24"/>
              </w:rPr>
              <w:t>Официальный сайт Федерального центра Тестирования</w:t>
            </w:r>
          </w:p>
        </w:tc>
        <w:tc>
          <w:tcPr>
            <w:tcW w:w="3649" w:type="dxa"/>
          </w:tcPr>
          <w:p w:rsidR="002D44D1" w:rsidRPr="00954D7E" w:rsidRDefault="00410414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44D1" w:rsidRPr="00954D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www.rustest.ru</w:t>
              </w:r>
            </w:hyperlink>
            <w:r w:rsidR="002D44D1" w:rsidRPr="0095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4D1" w:rsidTr="00F03646">
        <w:tc>
          <w:tcPr>
            <w:tcW w:w="6487" w:type="dxa"/>
          </w:tcPr>
          <w:p w:rsidR="002D44D1" w:rsidRPr="00954D7E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95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 w:rsidRPr="0095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3649" w:type="dxa"/>
          </w:tcPr>
          <w:p w:rsidR="002D44D1" w:rsidRDefault="00410414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44D1" w:rsidRPr="003F77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https://coko.43edu.ru/</w:t>
              </w:r>
            </w:hyperlink>
          </w:p>
          <w:p w:rsidR="002D44D1" w:rsidRPr="00954D7E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1" w:rsidTr="00F03646">
        <w:tc>
          <w:tcPr>
            <w:tcW w:w="6487" w:type="dxa"/>
          </w:tcPr>
          <w:p w:rsidR="002D44D1" w:rsidRPr="00954D7E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«ГИА в Кировской области»</w:t>
            </w:r>
          </w:p>
        </w:tc>
        <w:tc>
          <w:tcPr>
            <w:tcW w:w="3649" w:type="dxa"/>
          </w:tcPr>
          <w:p w:rsidR="002D44D1" w:rsidRDefault="00410414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44D1" w:rsidRPr="003F77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https://ege.43edu.ru/</w:t>
              </w:r>
            </w:hyperlink>
          </w:p>
          <w:p w:rsidR="002D44D1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1" w:rsidTr="00F03646">
        <w:tc>
          <w:tcPr>
            <w:tcW w:w="6487" w:type="dxa"/>
          </w:tcPr>
          <w:p w:rsidR="002D44D1" w:rsidRPr="00AF3325" w:rsidRDefault="00410414" w:rsidP="00F03646">
            <w:pPr>
              <w:shd w:val="clear" w:color="auto" w:fill="FFFFFF"/>
              <w:outlineLvl w:val="0"/>
              <w:rPr>
                <w:rFonts w:ascii="Calibri" w:eastAsia="Times New Roman" w:hAnsi="Calibri" w:cs="Calibri"/>
                <w:color w:val="1E1E1E"/>
                <w:kern w:val="36"/>
                <w:sz w:val="27"/>
                <w:szCs w:val="27"/>
              </w:rPr>
            </w:pPr>
            <w:hyperlink r:id="rId9" w:history="1">
              <w:r w:rsidR="002D44D1" w:rsidRPr="00AF3325">
                <w:rPr>
                  <w:rFonts w:ascii="Calibri" w:eastAsia="Times New Roman" w:hAnsi="Calibri" w:cs="Calibri"/>
                  <w:b/>
                  <w:bCs/>
                  <w:color w:val="444444"/>
                  <w:kern w:val="36"/>
                  <w:sz w:val="33"/>
                  <w:szCs w:val="33"/>
                </w:rPr>
                <w:t>ФЕДЕРАЛЬНАЯ СЛУЖБА ПО НАДЗОРУ В СФЕРЕ ОБРАЗОВАНИЯ И НАУКИ</w:t>
              </w:r>
            </w:hyperlink>
          </w:p>
          <w:p w:rsidR="002D44D1" w:rsidRPr="00AF3325" w:rsidRDefault="002D44D1" w:rsidP="00F03646">
            <w:pPr>
              <w:shd w:val="clear" w:color="auto" w:fill="FFFFFF"/>
              <w:rPr>
                <w:rFonts w:ascii="Calibri" w:eastAsia="Times New Roman" w:hAnsi="Calibri" w:cs="Calibri"/>
                <w:color w:val="686868"/>
                <w:sz w:val="24"/>
                <w:szCs w:val="24"/>
              </w:rPr>
            </w:pPr>
            <w:r w:rsidRPr="00AF3325">
              <w:rPr>
                <w:rFonts w:ascii="Calibri" w:eastAsia="Times New Roman" w:hAnsi="Calibri" w:cs="Calibri"/>
                <w:color w:val="686868"/>
                <w:sz w:val="24"/>
                <w:szCs w:val="24"/>
              </w:rPr>
              <w:t xml:space="preserve">Официальный сайт </w:t>
            </w:r>
            <w:proofErr w:type="spellStart"/>
            <w:r w:rsidRPr="00AF3325">
              <w:rPr>
                <w:rFonts w:ascii="Calibri" w:eastAsia="Times New Roman" w:hAnsi="Calibri" w:cs="Calibri"/>
                <w:color w:val="686868"/>
                <w:sz w:val="24"/>
                <w:szCs w:val="24"/>
              </w:rPr>
              <w:t>Рособрнадзора</w:t>
            </w:r>
            <w:proofErr w:type="spellEnd"/>
          </w:p>
          <w:p w:rsidR="002D44D1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2D44D1" w:rsidRDefault="00410414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D44D1" w:rsidRPr="003F77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https://obrnadzor.gov.ru/gia/gia-9/</w:t>
              </w:r>
            </w:hyperlink>
          </w:p>
          <w:p w:rsidR="002D44D1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1" w:rsidTr="00F03646">
        <w:tc>
          <w:tcPr>
            <w:tcW w:w="6487" w:type="dxa"/>
          </w:tcPr>
          <w:p w:rsidR="002D44D1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институт педагогических измерений </w:t>
            </w:r>
          </w:p>
          <w:p w:rsidR="002D44D1" w:rsidRPr="00954D7E" w:rsidRDefault="002D44D1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 открытый банк заданий, демоверсии КИМ)</w:t>
            </w:r>
          </w:p>
        </w:tc>
        <w:tc>
          <w:tcPr>
            <w:tcW w:w="3649" w:type="dxa"/>
          </w:tcPr>
          <w:p w:rsidR="002D44D1" w:rsidRPr="00954D7E" w:rsidRDefault="00410414" w:rsidP="00F036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44D1" w:rsidRPr="00954D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http://fipi.ru/</w:t>
              </w:r>
            </w:hyperlink>
            <w:r w:rsidR="002D44D1" w:rsidRPr="00954D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D44D1" w:rsidRDefault="002D44D1" w:rsidP="002D44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2A2D" w:rsidRDefault="00532A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lastRenderedPageBreak/>
        <w:t>✔</w:t>
      </w:r>
      <w:r>
        <w:rPr>
          <w:sz w:val="24"/>
          <w:szCs w:val="24"/>
        </w:rPr>
        <w:t>Математика</w:t>
      </w:r>
    </w:p>
    <w:p w:rsidR="00532A2D" w:rsidRPr="00071F5D" w:rsidRDefault="00532A2D" w:rsidP="00532A2D">
      <w:pPr>
        <w:rPr>
          <w:sz w:val="24"/>
          <w:szCs w:val="24"/>
        </w:rPr>
      </w:pPr>
      <w:proofErr w:type="gramStart"/>
      <w:r w:rsidRPr="00071F5D">
        <w:rPr>
          <w:sz w:val="24"/>
          <w:szCs w:val="24"/>
        </w:rPr>
        <w:t>Важно отметить, что ОГЭ по математике проводится в двух уровнях сложности: базовом и профильном.</w:t>
      </w:r>
      <w:proofErr w:type="gramEnd"/>
      <w:r w:rsidRPr="00071F5D">
        <w:rPr>
          <w:sz w:val="24"/>
          <w:szCs w:val="24"/>
        </w:rPr>
        <w:t xml:space="preserve"> Разделение на уровни обусловлено различием в заданиях и требованиях к ученикам. Школьники сами выбирают уровень сложности в зависимости от </w:t>
      </w:r>
      <w:r>
        <w:rPr>
          <w:sz w:val="24"/>
          <w:szCs w:val="24"/>
        </w:rPr>
        <w:t>своих возможностей и интересов.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На ОГЭ по математике ученикам предстоит выполнять задания разного типа: решать уравнения, находить производные, работать с графиками функций и многое другое. Важно заранее подготовиться к экзамену, изучив теоретический материал и решая практические задания.</w:t>
      </w:r>
    </w:p>
    <w:p w:rsidR="00532A2D" w:rsidRPr="00071F5D" w:rsidRDefault="00532A2D" w:rsidP="00532A2D">
      <w:pPr>
        <w:rPr>
          <w:sz w:val="24"/>
          <w:szCs w:val="24"/>
        </w:rPr>
      </w:pP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✔</w:t>
      </w:r>
      <w:r>
        <w:rPr>
          <w:sz w:val="24"/>
          <w:szCs w:val="24"/>
        </w:rPr>
        <w:t>Русский язык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ascii="Calibri" w:hAnsi="Calibri" w:cs="Calibri"/>
          <w:sz w:val="24"/>
          <w:szCs w:val="24"/>
        </w:rPr>
        <w:t>✅</w:t>
      </w:r>
      <w:r w:rsidRPr="00071F5D">
        <w:rPr>
          <w:sz w:val="24"/>
          <w:szCs w:val="24"/>
        </w:rPr>
        <w:t>Основной предмет ОГЭ по русскому языку оценивает уровень владения учащимся грамотной речью, умением анализировать и понимать тексты, правильно формулировать свои мысли и аргументировать свою точку зрения. Также экзамен проверяет знания учеников о правилах русско</w:t>
      </w:r>
      <w:r>
        <w:rPr>
          <w:sz w:val="24"/>
          <w:szCs w:val="24"/>
        </w:rPr>
        <w:t>го языка, лексике и литературе.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Для подготовки к ОГЭ по русскому языку необходимо разносторонне развивать языковые способности ученика. Важно учиться читать и анализировать разнообразные тексты: художественные произведения, публицистические статьи, научно-популярные труды. Также стоит обратить внимание на пополнение словарного запаса, улучшение навыков орфографии и пунктуации.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Темы, которые можете ожидать на ОГЭ по русскому языку: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Тексты на общую тему сочинения;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Аргументирование своей точки зрения по заданной теме;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Работа с фактами и доказательствами;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Анализ и сравнение текстов;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Орфография и пунктуация;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Лексика и грамматика;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Изложение с элементами рассуждения;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Для успешной подготовки к ОГЭ по русскому языку рекомендуется постоянно решать тестовые задания, выполнять практикумы по анализу текстов и письму, а также активно использовать учебники, пособия и онлайн-ресурсы для изучения грамматики и лексики.</w:t>
      </w:r>
    </w:p>
    <w:p w:rsidR="00532A2D" w:rsidRPr="00071F5D" w:rsidRDefault="00532A2D" w:rsidP="00532A2D">
      <w:pPr>
        <w:rPr>
          <w:sz w:val="24"/>
          <w:szCs w:val="24"/>
        </w:rPr>
      </w:pP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✔</w:t>
      </w:r>
      <w:r>
        <w:rPr>
          <w:sz w:val="24"/>
          <w:szCs w:val="24"/>
        </w:rPr>
        <w:t>Иностранный язык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lastRenderedPageBreak/>
        <w:t>Дата проведения ОГЭ по иностранному языку в 2024 году пока не объявлена. Обычно тест по этому предмету проходит в конце июня или начале июля. Для успешного сдачи экзамена по иностранному языку рекомендуется постоянно практиковаться в чтении, письме, говорении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 xml:space="preserve"> на данном языке.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В ходе экзамена ОГЭ по иностранному языку выпускникам предлагаются задания различных типов, таких как понимание прослушанного и понимание текста. В заданиях могут использоваться тексты, аудиозаписи, видеозаписи и другие материалы на иностранном языке.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Содержание и формат заданий по иностранному языку на ОГЭ могут незначительно изменяться каждый год. Таким образом, важно следить за официальной информацией и подготавливаться в соответствии с требованиями и особенностями текущего года.</w:t>
      </w:r>
    </w:p>
    <w:p w:rsidR="00532A2D" w:rsidRPr="00071F5D" w:rsidRDefault="00532A2D" w:rsidP="00532A2D">
      <w:pPr>
        <w:rPr>
          <w:sz w:val="24"/>
          <w:szCs w:val="24"/>
        </w:rPr>
      </w:pP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✔</w:t>
      </w:r>
      <w:r>
        <w:rPr>
          <w:sz w:val="24"/>
          <w:szCs w:val="24"/>
        </w:rPr>
        <w:t>История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Первый ОГЭ был проведен в 2009 году в рамках реформы образования в России. Целью реформы было повышение качества образования, улучшение доступности образовательных возможностей для всех учащихся и объективная оценка полученных знаний и умений. С тех пор ОГЭ существенно изменился и стал более сложным и требовательным.</w:t>
      </w:r>
    </w:p>
    <w:p w:rsidR="00532A2D" w:rsidRPr="00071F5D" w:rsidRDefault="00532A2D" w:rsidP="00532A2D">
      <w:pPr>
        <w:rPr>
          <w:sz w:val="24"/>
          <w:szCs w:val="24"/>
        </w:rPr>
      </w:pP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✔</w:t>
      </w:r>
      <w:r>
        <w:rPr>
          <w:sz w:val="24"/>
          <w:szCs w:val="24"/>
        </w:rPr>
        <w:t>География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География — это предмет, который изучает различные аспекты нашей планеты, такие как её физическая структура, природные ресурсы, популяция, экономика и многое другое. Важно отметить, что знание географии имеет практическое применение в разных областях, включая градостроительство, туризм, экологию и политику.</w:t>
      </w:r>
    </w:p>
    <w:p w:rsidR="00532A2D" w:rsidRPr="00071F5D" w:rsidRDefault="00532A2D" w:rsidP="00532A2D">
      <w:pPr>
        <w:rPr>
          <w:sz w:val="24"/>
          <w:szCs w:val="24"/>
        </w:rPr>
      </w:pP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✔</w:t>
      </w:r>
      <w:r>
        <w:rPr>
          <w:sz w:val="24"/>
          <w:szCs w:val="24"/>
        </w:rPr>
        <w:t>Физика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Важно отметить, что ОГЭ по физике проводится в формате письменного экзамена и состоит из нескольких разделов, которые охватывают разные темы и задания. Один из разделов экзамена предлагает решить задачи на применение физических законов и формул, а другой раздел — выполнить лабораторные работы и анализировать полученные данные.</w:t>
      </w:r>
    </w:p>
    <w:p w:rsidR="00532A2D" w:rsidRPr="00071F5D" w:rsidRDefault="00532A2D" w:rsidP="00532A2D">
      <w:pPr>
        <w:rPr>
          <w:sz w:val="24"/>
          <w:szCs w:val="24"/>
        </w:rPr>
      </w:pP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✔</w:t>
      </w:r>
      <w:r w:rsidRPr="00071F5D">
        <w:rPr>
          <w:sz w:val="24"/>
          <w:szCs w:val="24"/>
        </w:rPr>
        <w:t>Химия.</w:t>
      </w:r>
    </w:p>
    <w:p w:rsidR="00532A2D" w:rsidRPr="00071F5D" w:rsidRDefault="00532A2D" w:rsidP="00532A2D">
      <w:pPr>
        <w:rPr>
          <w:sz w:val="24"/>
          <w:szCs w:val="24"/>
        </w:rPr>
      </w:pP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sz w:val="24"/>
          <w:szCs w:val="24"/>
        </w:rPr>
        <w:t>Химия — наука, изучающая строение, свойства, состав и превращения веществ. Для успешной подготовки к экзамену по химии рекомендуется ознакомиться с основными разделами и темами, которые включают в себя программу ОГЭ по этому предмету.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lastRenderedPageBreak/>
        <w:t>➡</w:t>
      </w:r>
      <w:r w:rsidRPr="00071F5D">
        <w:rPr>
          <w:sz w:val="24"/>
          <w:szCs w:val="24"/>
        </w:rPr>
        <w:t>Строение атома и периодическая система химических элементов.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Химическая связь.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Свойства и превращения веществ.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Скорость химических реакций и равновесие.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eastAsia="MS Gothic" w:hint="eastAsia"/>
          <w:sz w:val="24"/>
          <w:szCs w:val="24"/>
        </w:rPr>
        <w:t>➡</w:t>
      </w:r>
      <w:r w:rsidRPr="00071F5D">
        <w:rPr>
          <w:sz w:val="24"/>
          <w:szCs w:val="24"/>
        </w:rPr>
        <w:t>Углеводороды и их производные.</w:t>
      </w:r>
    </w:p>
    <w:p w:rsidR="00532A2D" w:rsidRPr="00071F5D" w:rsidRDefault="00532A2D" w:rsidP="00532A2D">
      <w:pPr>
        <w:rPr>
          <w:sz w:val="24"/>
          <w:szCs w:val="24"/>
        </w:rPr>
      </w:pPr>
      <w:r w:rsidRPr="00071F5D">
        <w:rPr>
          <w:rFonts w:ascii="Segoe UI Symbol" w:hAnsi="Segoe UI Symbol" w:cs="Segoe UI Symbol"/>
          <w:sz w:val="24"/>
          <w:szCs w:val="24"/>
        </w:rPr>
        <w:t>📌</w:t>
      </w:r>
      <w:r w:rsidRPr="00071F5D">
        <w:rPr>
          <w:sz w:val="24"/>
          <w:szCs w:val="24"/>
        </w:rPr>
        <w:t>Важно также научиться работать с химическими формулами и уравнениями реакций, чтобы успешно решать задачи на экзамене. Рекомендуется регулярно выполнять практические задания, проводить лабораторные работы и запомнить основные химические термины и определения.</w:t>
      </w:r>
    </w:p>
    <w:p w:rsidR="00853EC5" w:rsidRPr="00853EC5" w:rsidRDefault="00853EC5" w:rsidP="002D44D1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53EC5" w:rsidRPr="00853EC5" w:rsidSect="00F66FE5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18E"/>
    <w:multiLevelType w:val="hybridMultilevel"/>
    <w:tmpl w:val="BD4A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12530"/>
    <w:multiLevelType w:val="hybridMultilevel"/>
    <w:tmpl w:val="915C0DC6"/>
    <w:lvl w:ilvl="0" w:tplc="BD7009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12B2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88CF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5622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B651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120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164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0818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F882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BF1FBB"/>
    <w:multiLevelType w:val="hybridMultilevel"/>
    <w:tmpl w:val="DDEC439C"/>
    <w:lvl w:ilvl="0" w:tplc="1E08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82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22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01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C1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06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0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25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E2B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50F1B"/>
    <w:multiLevelType w:val="hybridMultilevel"/>
    <w:tmpl w:val="6430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B"/>
    <w:rsid w:val="00052C3C"/>
    <w:rsid w:val="000C4923"/>
    <w:rsid w:val="000E1EF1"/>
    <w:rsid w:val="00153340"/>
    <w:rsid w:val="001E4D33"/>
    <w:rsid w:val="002510B9"/>
    <w:rsid w:val="002538D1"/>
    <w:rsid w:val="002A1CF0"/>
    <w:rsid w:val="002B55C2"/>
    <w:rsid w:val="002C4D32"/>
    <w:rsid w:val="002D16B1"/>
    <w:rsid w:val="002D44D1"/>
    <w:rsid w:val="00327DC9"/>
    <w:rsid w:val="00361955"/>
    <w:rsid w:val="00391E4F"/>
    <w:rsid w:val="003C1A71"/>
    <w:rsid w:val="00410414"/>
    <w:rsid w:val="00532A2D"/>
    <w:rsid w:val="006340E1"/>
    <w:rsid w:val="0063729D"/>
    <w:rsid w:val="00672838"/>
    <w:rsid w:val="006E0493"/>
    <w:rsid w:val="006F566B"/>
    <w:rsid w:val="006F6E81"/>
    <w:rsid w:val="007C057D"/>
    <w:rsid w:val="007C0C83"/>
    <w:rsid w:val="00820218"/>
    <w:rsid w:val="008219DC"/>
    <w:rsid w:val="00853EC5"/>
    <w:rsid w:val="00874A7C"/>
    <w:rsid w:val="008C12C4"/>
    <w:rsid w:val="008C2114"/>
    <w:rsid w:val="008D0E5E"/>
    <w:rsid w:val="00916678"/>
    <w:rsid w:val="009561D4"/>
    <w:rsid w:val="00971038"/>
    <w:rsid w:val="00974284"/>
    <w:rsid w:val="009A36A9"/>
    <w:rsid w:val="009D7E42"/>
    <w:rsid w:val="009E26A7"/>
    <w:rsid w:val="00A5307D"/>
    <w:rsid w:val="00AA0FF1"/>
    <w:rsid w:val="00B27C00"/>
    <w:rsid w:val="00BE48A9"/>
    <w:rsid w:val="00BF496D"/>
    <w:rsid w:val="00CB17AB"/>
    <w:rsid w:val="00D43427"/>
    <w:rsid w:val="00DD11AF"/>
    <w:rsid w:val="00E523FD"/>
    <w:rsid w:val="00E63551"/>
    <w:rsid w:val="00E670BA"/>
    <w:rsid w:val="00E74586"/>
    <w:rsid w:val="00F5060A"/>
    <w:rsid w:val="00F66347"/>
    <w:rsid w:val="00F66FE5"/>
    <w:rsid w:val="00FB5D85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663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634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3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3EC5"/>
    <w:pPr>
      <w:ind w:left="720"/>
      <w:contextualSpacing/>
    </w:pPr>
  </w:style>
  <w:style w:type="paragraph" w:styleId="a8">
    <w:name w:val="No Spacing"/>
    <w:uiPriority w:val="1"/>
    <w:qFormat/>
    <w:rsid w:val="00F66FE5"/>
    <w:pPr>
      <w:spacing w:after="0" w:line="240" w:lineRule="auto"/>
    </w:pPr>
  </w:style>
  <w:style w:type="table" w:styleId="a9">
    <w:name w:val="Table Grid"/>
    <w:basedOn w:val="a1"/>
    <w:uiPriority w:val="59"/>
    <w:rsid w:val="00E7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7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663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634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3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3EC5"/>
    <w:pPr>
      <w:ind w:left="720"/>
      <w:contextualSpacing/>
    </w:pPr>
  </w:style>
  <w:style w:type="paragraph" w:styleId="a8">
    <w:name w:val="No Spacing"/>
    <w:uiPriority w:val="1"/>
    <w:qFormat/>
    <w:rsid w:val="00F66FE5"/>
    <w:pPr>
      <w:spacing w:after="0" w:line="240" w:lineRule="auto"/>
    </w:pPr>
  </w:style>
  <w:style w:type="table" w:styleId="a9">
    <w:name w:val="Table Grid"/>
    <w:basedOn w:val="a1"/>
    <w:uiPriority w:val="59"/>
    <w:rsid w:val="00E7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7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516">
              <w:marLeft w:val="0"/>
              <w:marRight w:val="0"/>
              <w:marTop w:val="0"/>
              <w:marBottom w:val="250"/>
              <w:divBdr>
                <w:top w:val="single" w:sz="4" w:space="0" w:color="676262"/>
                <w:left w:val="single" w:sz="4" w:space="0" w:color="676262"/>
                <w:bottom w:val="single" w:sz="4" w:space="0" w:color="676262"/>
                <w:right w:val="single" w:sz="4" w:space="0" w:color="676262"/>
              </w:divBdr>
              <w:divsChild>
                <w:div w:id="2493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54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972">
              <w:marLeft w:val="0"/>
              <w:marRight w:val="0"/>
              <w:marTop w:val="0"/>
              <w:marBottom w:val="250"/>
              <w:divBdr>
                <w:top w:val="single" w:sz="4" w:space="0" w:color="676262"/>
                <w:left w:val="single" w:sz="4" w:space="0" w:color="676262"/>
                <w:bottom w:val="single" w:sz="4" w:space="0" w:color="676262"/>
                <w:right w:val="single" w:sz="4" w:space="0" w:color="676262"/>
              </w:divBdr>
              <w:divsChild>
                <w:div w:id="396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11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43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ko.43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nadzor.gov.ru/gia/gia-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Елена Пономарева</cp:lastModifiedBy>
  <cp:revision>2</cp:revision>
  <dcterms:created xsi:type="dcterms:W3CDTF">2023-10-11T08:01:00Z</dcterms:created>
  <dcterms:modified xsi:type="dcterms:W3CDTF">2023-10-11T08:01:00Z</dcterms:modified>
</cp:coreProperties>
</file>